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36" w:rsidRDefault="009A5D36" w:rsidP="009A5D36">
      <w:pPr>
        <w:jc w:val="center"/>
        <w:rPr>
          <w:rFonts w:cs="Mangal"/>
          <w:b/>
          <w:kern w:val="24"/>
          <w:sz w:val="28"/>
          <w:szCs w:val="28"/>
        </w:rPr>
      </w:pPr>
    </w:p>
    <w:p w:rsidR="009A5D36" w:rsidRPr="00C5119B" w:rsidRDefault="009A5D36" w:rsidP="009A5D36">
      <w:pPr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C5119B">
        <w:rPr>
          <w:rFonts w:ascii="Times New Roman" w:hAnsi="Times New Roman" w:cs="Times New Roman"/>
          <w:b/>
          <w:kern w:val="24"/>
          <w:sz w:val="28"/>
          <w:szCs w:val="28"/>
        </w:rPr>
        <w:t xml:space="preserve">Перечень муниципального имущества МО </w:t>
      </w:r>
      <w:proofErr w:type="spellStart"/>
      <w:r w:rsidRPr="00C5119B">
        <w:rPr>
          <w:rFonts w:ascii="Times New Roman" w:hAnsi="Times New Roman" w:cs="Times New Roman"/>
          <w:b/>
          <w:kern w:val="24"/>
          <w:sz w:val="28"/>
          <w:szCs w:val="28"/>
        </w:rPr>
        <w:t>Хатажукайское</w:t>
      </w:r>
      <w:proofErr w:type="spellEnd"/>
      <w:r w:rsidRPr="00C5119B">
        <w:rPr>
          <w:rFonts w:ascii="Times New Roman" w:hAnsi="Times New Roman" w:cs="Times New Roman"/>
          <w:b/>
          <w:kern w:val="24"/>
          <w:sz w:val="28"/>
          <w:szCs w:val="28"/>
        </w:rPr>
        <w:t xml:space="preserve"> сельское поселение», предназначенного для предоставления во владение </w:t>
      </w:r>
      <w:proofErr w:type="gramStart"/>
      <w:r w:rsidRPr="00C5119B">
        <w:rPr>
          <w:rFonts w:ascii="Times New Roman" w:hAnsi="Times New Roman" w:cs="Times New Roman"/>
          <w:b/>
          <w:kern w:val="24"/>
          <w:sz w:val="28"/>
          <w:szCs w:val="28"/>
        </w:rPr>
        <w:t>и( или</w:t>
      </w:r>
      <w:proofErr w:type="gramEnd"/>
      <w:r w:rsidRPr="00C5119B">
        <w:rPr>
          <w:rFonts w:ascii="Times New Roman" w:hAnsi="Times New Roman" w:cs="Times New Roman"/>
          <w:b/>
          <w:kern w:val="24"/>
          <w:sz w:val="28"/>
          <w:szCs w:val="28"/>
        </w:rPr>
        <w:t>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tbl>
      <w:tblPr>
        <w:tblStyle w:val="1"/>
        <w:tblW w:w="15559" w:type="dxa"/>
        <w:tblLook w:val="01E0" w:firstRow="1" w:lastRow="1" w:firstColumn="1" w:lastColumn="1" w:noHBand="0" w:noVBand="0"/>
      </w:tblPr>
      <w:tblGrid>
        <w:gridCol w:w="981"/>
        <w:gridCol w:w="3114"/>
        <w:gridCol w:w="2103"/>
        <w:gridCol w:w="2858"/>
        <w:gridCol w:w="2563"/>
        <w:gridCol w:w="1786"/>
        <w:gridCol w:w="2154"/>
      </w:tblGrid>
      <w:tr w:rsidR="009A5D36" w:rsidRPr="00B21B7B" w:rsidTr="004A220F">
        <w:trPr>
          <w:trHeight w:val="283"/>
        </w:trPr>
        <w:tc>
          <w:tcPr>
            <w:tcW w:w="992" w:type="dxa"/>
            <w:vMerge w:val="restart"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 w:rsidRPr="00081077">
              <w:rPr>
                <w:rFonts w:cs="Mangal"/>
                <w:kern w:val="24"/>
                <w:sz w:val="24"/>
                <w:szCs w:val="24"/>
              </w:rPr>
              <w:t>№п/п</w:t>
            </w:r>
          </w:p>
        </w:tc>
        <w:tc>
          <w:tcPr>
            <w:tcW w:w="3136" w:type="dxa"/>
            <w:vMerge w:val="restart"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 w:rsidRPr="00081077">
              <w:rPr>
                <w:rFonts w:cs="Mangal"/>
                <w:kern w:val="24"/>
                <w:sz w:val="24"/>
                <w:szCs w:val="24"/>
              </w:rPr>
              <w:t>Адрес(местоположение) объекта</w:t>
            </w: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 w:rsidRPr="00081077">
              <w:rPr>
                <w:rFonts w:cs="Mangal"/>
                <w:kern w:val="24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916" w:type="dxa"/>
            <w:vMerge w:val="restart"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 w:rsidRPr="00081077">
              <w:rPr>
                <w:rFonts w:cs="Mangal"/>
                <w:kern w:val="24"/>
                <w:sz w:val="24"/>
                <w:szCs w:val="24"/>
              </w:rPr>
              <w:t>Наименование объекта учёта</w:t>
            </w:r>
          </w:p>
        </w:tc>
        <w:tc>
          <w:tcPr>
            <w:tcW w:w="6391" w:type="dxa"/>
            <w:gridSpan w:val="3"/>
          </w:tcPr>
          <w:p w:rsidR="009A5D36" w:rsidRPr="00081077" w:rsidRDefault="009A5D36" w:rsidP="004A220F">
            <w:pPr>
              <w:jc w:val="center"/>
              <w:rPr>
                <w:rFonts w:cs="Mangal"/>
                <w:kern w:val="24"/>
                <w:sz w:val="24"/>
                <w:szCs w:val="24"/>
              </w:rPr>
            </w:pPr>
            <w:r w:rsidRPr="00081077">
              <w:rPr>
                <w:rFonts w:cs="Mangal"/>
                <w:kern w:val="24"/>
                <w:sz w:val="24"/>
                <w:szCs w:val="24"/>
              </w:rPr>
              <w:t>Сведения о недвижимом имуществе</w:t>
            </w:r>
          </w:p>
        </w:tc>
      </w:tr>
      <w:tr w:rsidR="009A5D36" w:rsidRPr="00B21B7B" w:rsidTr="004A220F">
        <w:trPr>
          <w:trHeight w:val="299"/>
        </w:trPr>
        <w:tc>
          <w:tcPr>
            <w:tcW w:w="992" w:type="dxa"/>
            <w:vMerge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</w:tc>
        <w:tc>
          <w:tcPr>
            <w:tcW w:w="6391" w:type="dxa"/>
            <w:gridSpan w:val="3"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 w:rsidRPr="00081077">
              <w:rPr>
                <w:rFonts w:cs="Mangal"/>
                <w:kern w:val="24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9A5D36" w:rsidRPr="00B21B7B" w:rsidTr="004A220F">
        <w:trPr>
          <w:trHeight w:val="2614"/>
        </w:trPr>
        <w:tc>
          <w:tcPr>
            <w:tcW w:w="992" w:type="dxa"/>
            <w:vMerge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</w:tc>
        <w:tc>
          <w:tcPr>
            <w:tcW w:w="2603" w:type="dxa"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 w:rsidRPr="00081077">
              <w:rPr>
                <w:rFonts w:cs="Mangal"/>
                <w:kern w:val="24"/>
                <w:sz w:val="24"/>
                <w:szCs w:val="24"/>
              </w:rPr>
              <w:t>Тип ( площадь – для земельных участков, зданий, помещений; протяжённость, объём, площадь, глубина залегания – для сооружений)</w:t>
            </w:r>
          </w:p>
        </w:tc>
        <w:tc>
          <w:tcPr>
            <w:tcW w:w="1800" w:type="dxa"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 w:rsidRPr="00081077">
              <w:rPr>
                <w:rFonts w:cs="Mangal"/>
                <w:kern w:val="24"/>
                <w:sz w:val="24"/>
                <w:szCs w:val="24"/>
              </w:rPr>
              <w:t>Фактическое значение</w:t>
            </w:r>
          </w:p>
        </w:tc>
        <w:tc>
          <w:tcPr>
            <w:tcW w:w="1988" w:type="dxa"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</w:p>
          <w:p w:rsidR="009A5D36" w:rsidRPr="00081077" w:rsidRDefault="009A5D36" w:rsidP="004A220F">
            <w:pPr>
              <w:ind w:right="368"/>
              <w:rPr>
                <w:rFonts w:cs="Mangal"/>
                <w:kern w:val="24"/>
                <w:sz w:val="24"/>
                <w:szCs w:val="24"/>
              </w:rPr>
            </w:pPr>
            <w:r w:rsidRPr="00081077">
              <w:rPr>
                <w:rFonts w:cs="Mangal"/>
                <w:kern w:val="24"/>
                <w:sz w:val="24"/>
                <w:szCs w:val="24"/>
              </w:rPr>
              <w:t>Единица измерения              ( для площади –</w:t>
            </w:r>
            <w:proofErr w:type="spellStart"/>
            <w:r w:rsidRPr="00081077">
              <w:rPr>
                <w:rFonts w:cs="Mangal"/>
                <w:kern w:val="24"/>
                <w:sz w:val="24"/>
                <w:szCs w:val="24"/>
              </w:rPr>
              <w:t>кв.м</w:t>
            </w:r>
            <w:proofErr w:type="spellEnd"/>
            <w:r w:rsidRPr="00081077">
              <w:rPr>
                <w:rFonts w:cs="Mangal"/>
                <w:kern w:val="24"/>
                <w:sz w:val="24"/>
                <w:szCs w:val="24"/>
              </w:rPr>
              <w:t xml:space="preserve">, для протяженности -_м.,    для глубины залегания    -м.,  для объёма-   </w:t>
            </w:r>
            <w:proofErr w:type="spellStart"/>
            <w:r w:rsidRPr="00081077">
              <w:rPr>
                <w:rFonts w:cs="Mangal"/>
                <w:kern w:val="24"/>
                <w:sz w:val="24"/>
                <w:szCs w:val="24"/>
              </w:rPr>
              <w:t>куб.м</w:t>
            </w:r>
            <w:proofErr w:type="spellEnd"/>
            <w:r w:rsidRPr="00081077">
              <w:rPr>
                <w:rFonts w:cs="Mangal"/>
                <w:kern w:val="24"/>
                <w:sz w:val="24"/>
                <w:szCs w:val="24"/>
              </w:rPr>
              <w:t>.)</w:t>
            </w:r>
          </w:p>
        </w:tc>
      </w:tr>
      <w:tr w:rsidR="009A5D36" w:rsidRPr="00B21B7B" w:rsidTr="004A220F">
        <w:trPr>
          <w:trHeight w:val="346"/>
        </w:trPr>
        <w:tc>
          <w:tcPr>
            <w:tcW w:w="992" w:type="dxa"/>
          </w:tcPr>
          <w:p w:rsidR="009A5D36" w:rsidRPr="00B21B7B" w:rsidRDefault="009A5D36" w:rsidP="004A220F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9A5D36" w:rsidRPr="00B21B7B" w:rsidRDefault="009A5D36" w:rsidP="004A220F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9A5D36" w:rsidRPr="00B21B7B" w:rsidRDefault="009A5D36" w:rsidP="004A220F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9A5D36" w:rsidRPr="00B21B7B" w:rsidRDefault="009A5D36" w:rsidP="004A220F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4</w:t>
            </w:r>
          </w:p>
        </w:tc>
        <w:tc>
          <w:tcPr>
            <w:tcW w:w="2603" w:type="dxa"/>
          </w:tcPr>
          <w:p w:rsidR="009A5D36" w:rsidRPr="00B21B7B" w:rsidRDefault="009A5D36" w:rsidP="004A220F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9A5D36" w:rsidRPr="00B21B7B" w:rsidRDefault="009A5D36" w:rsidP="004A220F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9A5D36" w:rsidRPr="00B21B7B" w:rsidRDefault="009A5D36" w:rsidP="004A220F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7</w:t>
            </w:r>
          </w:p>
        </w:tc>
      </w:tr>
      <w:tr w:rsidR="009A5D36" w:rsidRPr="00B21B7B" w:rsidTr="004A220F">
        <w:trPr>
          <w:trHeight w:val="346"/>
        </w:trPr>
        <w:tc>
          <w:tcPr>
            <w:tcW w:w="992" w:type="dxa"/>
          </w:tcPr>
          <w:p w:rsidR="009A5D36" w:rsidRPr="00B21B7B" w:rsidRDefault="009A5D36" w:rsidP="004A220F">
            <w:pPr>
              <w:rPr>
                <w:rFonts w:cs="Mangal"/>
                <w:kern w:val="24"/>
                <w:sz w:val="28"/>
                <w:szCs w:val="28"/>
              </w:rPr>
            </w:pPr>
            <w:r>
              <w:rPr>
                <w:rFonts w:cs="Mangal"/>
                <w:kern w:val="24"/>
                <w:sz w:val="28"/>
                <w:szCs w:val="28"/>
              </w:rPr>
              <w:t>1.</w:t>
            </w:r>
          </w:p>
        </w:tc>
        <w:tc>
          <w:tcPr>
            <w:tcW w:w="3136" w:type="dxa"/>
          </w:tcPr>
          <w:p w:rsidR="009A5D36" w:rsidRPr="00081077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 w:rsidRPr="00081077">
              <w:rPr>
                <w:rFonts w:cs="Mangal"/>
                <w:kern w:val="24"/>
                <w:sz w:val="24"/>
                <w:szCs w:val="24"/>
              </w:rPr>
              <w:t xml:space="preserve">Республика Адыгея, Шовгеновский район, </w:t>
            </w:r>
            <w:r>
              <w:rPr>
                <w:rFonts w:cs="Mangal"/>
                <w:kern w:val="24"/>
                <w:sz w:val="24"/>
                <w:szCs w:val="24"/>
              </w:rPr>
              <w:t xml:space="preserve">                 </w:t>
            </w:r>
            <w:r w:rsidRPr="00081077">
              <w:rPr>
                <w:rFonts w:cs="Mangal"/>
                <w:kern w:val="24"/>
                <w:sz w:val="24"/>
                <w:szCs w:val="24"/>
              </w:rPr>
              <w:t xml:space="preserve">а. </w:t>
            </w:r>
            <w:proofErr w:type="spellStart"/>
            <w:r w:rsidRPr="00081077">
              <w:rPr>
                <w:rFonts w:cs="Mangal"/>
                <w:kern w:val="24"/>
                <w:sz w:val="24"/>
                <w:szCs w:val="24"/>
              </w:rPr>
              <w:t>Пшичо</w:t>
            </w:r>
            <w:proofErr w:type="spellEnd"/>
            <w:r w:rsidRPr="00081077">
              <w:rPr>
                <w:rFonts w:cs="Mangal"/>
                <w:kern w:val="24"/>
                <w:sz w:val="24"/>
                <w:szCs w:val="24"/>
              </w:rPr>
              <w:t>, ул. Ленина,51</w:t>
            </w:r>
          </w:p>
        </w:tc>
        <w:tc>
          <w:tcPr>
            <w:tcW w:w="2124" w:type="dxa"/>
          </w:tcPr>
          <w:p w:rsidR="009A5D36" w:rsidRPr="0082121E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 w:rsidRPr="0082121E">
              <w:rPr>
                <w:rFonts w:cs="Mangal"/>
                <w:kern w:val="24"/>
                <w:sz w:val="24"/>
                <w:szCs w:val="24"/>
              </w:rPr>
              <w:t>Недвижимое имущество</w:t>
            </w:r>
          </w:p>
        </w:tc>
        <w:tc>
          <w:tcPr>
            <w:tcW w:w="2916" w:type="dxa"/>
          </w:tcPr>
          <w:p w:rsidR="009A5D36" w:rsidRPr="0082121E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 w:rsidRPr="0082121E">
              <w:rPr>
                <w:rFonts w:cs="Mangal"/>
                <w:kern w:val="24"/>
                <w:sz w:val="24"/>
                <w:szCs w:val="24"/>
              </w:rPr>
              <w:t>Помещение в зданий администрации кабинет № 14</w:t>
            </w:r>
          </w:p>
        </w:tc>
        <w:tc>
          <w:tcPr>
            <w:tcW w:w="2603" w:type="dxa"/>
          </w:tcPr>
          <w:p w:rsidR="009A5D36" w:rsidRPr="0082121E" w:rsidRDefault="009A5D36" w:rsidP="004A220F">
            <w:pPr>
              <w:rPr>
                <w:rFonts w:cs="Mangal"/>
                <w:kern w:val="24"/>
                <w:sz w:val="24"/>
                <w:szCs w:val="24"/>
              </w:rPr>
            </w:pPr>
            <w:r>
              <w:rPr>
                <w:rFonts w:cs="Mangal"/>
                <w:kern w:val="24"/>
                <w:sz w:val="24"/>
                <w:szCs w:val="24"/>
              </w:rPr>
              <w:t xml:space="preserve">42,6 </w:t>
            </w:r>
          </w:p>
        </w:tc>
        <w:tc>
          <w:tcPr>
            <w:tcW w:w="1800" w:type="dxa"/>
          </w:tcPr>
          <w:p w:rsidR="009A5D36" w:rsidRPr="00B21B7B" w:rsidRDefault="009A5D36" w:rsidP="004A220F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988" w:type="dxa"/>
          </w:tcPr>
          <w:p w:rsidR="009A5D36" w:rsidRPr="00B21B7B" w:rsidRDefault="009A5D36" w:rsidP="004A220F">
            <w:pPr>
              <w:rPr>
                <w:rFonts w:cs="Mangal"/>
                <w:kern w:val="24"/>
                <w:sz w:val="28"/>
                <w:szCs w:val="28"/>
              </w:rPr>
            </w:pPr>
            <w:proofErr w:type="spellStart"/>
            <w:r>
              <w:rPr>
                <w:rFonts w:cs="Mangal"/>
                <w:kern w:val="24"/>
                <w:sz w:val="28"/>
                <w:szCs w:val="28"/>
              </w:rPr>
              <w:t>кв.м</w:t>
            </w:r>
            <w:proofErr w:type="spellEnd"/>
          </w:p>
        </w:tc>
      </w:tr>
    </w:tbl>
    <w:p w:rsidR="00F62518" w:rsidRPr="009A5D36" w:rsidRDefault="009A5D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2518" w:rsidRPr="009A5D36" w:rsidSect="009A5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A7"/>
    <w:rsid w:val="001118B5"/>
    <w:rsid w:val="009A5D36"/>
    <w:rsid w:val="00C904A7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7FCD"/>
  <w15:chartTrackingRefBased/>
  <w15:docId w15:val="{391EA5F5-3D15-4220-B673-81B42430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A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2019-12-06T07:25:00Z</dcterms:created>
  <dcterms:modified xsi:type="dcterms:W3CDTF">2019-12-06T07:28:00Z</dcterms:modified>
</cp:coreProperties>
</file>